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105" w:rsidRPr="002353C3" w:rsidRDefault="00450BCB" w:rsidP="00C37105">
      <w:pPr>
        <w:spacing w:before="240" w:after="0" w:line="240" w:lineRule="auto"/>
        <w:rPr>
          <w:b/>
          <w:sz w:val="28"/>
          <w:lang w:val="en-GB"/>
        </w:rPr>
      </w:pPr>
      <w:r>
        <w:rPr>
          <w:rFonts w:ascii="Arial" w:hAnsi="Arial" w:cs="Arial"/>
          <w:noProof/>
        </w:rPr>
        <w:drawing>
          <wp:anchor distT="0" distB="0" distL="114300" distR="114300" simplePos="0" relativeHeight="251659264" behindDoc="0" locked="0" layoutInCell="0" allowOverlap="1" wp14:anchorId="62CC5018" wp14:editId="53299118">
            <wp:simplePos x="0" y="0"/>
            <wp:positionH relativeFrom="margin">
              <wp:posOffset>2146935</wp:posOffset>
            </wp:positionH>
            <wp:positionV relativeFrom="paragraph">
              <wp:posOffset>7620</wp:posOffset>
            </wp:positionV>
            <wp:extent cx="2122805" cy="19931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sa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22805" cy="1993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105" w:rsidRPr="002353C3" w:rsidRDefault="00AC0D8C" w:rsidP="00C37105">
      <w:pPr>
        <w:spacing w:after="0" w:line="360" w:lineRule="auto"/>
        <w:jc w:val="center"/>
        <w:rPr>
          <w:b/>
          <w:sz w:val="36"/>
          <w:szCs w:val="36"/>
          <w:lang w:val="en-GB"/>
        </w:rPr>
      </w:pPr>
      <w:r>
        <w:rPr>
          <w:b/>
          <w:noProof/>
          <w:sz w:val="36"/>
          <w:szCs w:val="36"/>
        </w:rPr>
        <w:drawing>
          <wp:inline distT="0" distB="0" distL="0" distR="0">
            <wp:extent cx="1950720" cy="579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S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3980" cy="589182"/>
                    </a:xfrm>
                    <a:prstGeom prst="rect">
                      <a:avLst/>
                    </a:prstGeom>
                  </pic:spPr>
                </pic:pic>
              </a:graphicData>
            </a:graphic>
          </wp:inline>
        </w:drawing>
      </w:r>
    </w:p>
    <w:p w:rsidR="00C37105" w:rsidRPr="002353C3" w:rsidRDefault="00C37105" w:rsidP="00C37105">
      <w:pPr>
        <w:spacing w:after="0" w:line="360" w:lineRule="auto"/>
        <w:jc w:val="center"/>
        <w:rPr>
          <w:b/>
          <w:sz w:val="36"/>
          <w:szCs w:val="36"/>
          <w:lang w:val="en-GB"/>
        </w:rPr>
      </w:pPr>
    </w:p>
    <w:p w:rsidR="00C37105" w:rsidRPr="002353C3" w:rsidRDefault="00C37105" w:rsidP="00C37105">
      <w:pPr>
        <w:spacing w:after="0" w:line="360" w:lineRule="auto"/>
        <w:jc w:val="center"/>
        <w:rPr>
          <w:b/>
          <w:sz w:val="36"/>
          <w:szCs w:val="36"/>
          <w:lang w:val="en-GB"/>
        </w:rPr>
      </w:pPr>
    </w:p>
    <w:p w:rsidR="00C37105" w:rsidRPr="002353C3" w:rsidRDefault="00C37105" w:rsidP="00C37105">
      <w:pPr>
        <w:spacing w:after="0" w:line="360" w:lineRule="auto"/>
        <w:jc w:val="center"/>
        <w:rPr>
          <w:b/>
          <w:sz w:val="36"/>
          <w:szCs w:val="36"/>
          <w:lang w:val="en-GB"/>
        </w:rPr>
      </w:pPr>
    </w:p>
    <w:p w:rsidR="000F5A2C" w:rsidRPr="002353C3" w:rsidRDefault="00450BCB" w:rsidP="000F5A2C">
      <w:pPr>
        <w:spacing w:after="0" w:line="360" w:lineRule="auto"/>
        <w:jc w:val="center"/>
        <w:rPr>
          <w:b/>
          <w:sz w:val="36"/>
          <w:szCs w:val="36"/>
          <w:lang w:val="en-GB"/>
        </w:rPr>
      </w:pPr>
      <w:bookmarkStart w:id="0" w:name="OLE_LINK1"/>
      <w:bookmarkStart w:id="1" w:name="OLE_LINK2"/>
      <w:r>
        <w:rPr>
          <w:b/>
          <w:sz w:val="36"/>
          <w:szCs w:val="36"/>
          <w:lang w:val="en-GB"/>
        </w:rPr>
        <w:t xml:space="preserve">Vehicle API Legal </w:t>
      </w:r>
    </w:p>
    <w:bookmarkEnd w:id="0"/>
    <w:bookmarkEnd w:id="1"/>
    <w:p w:rsidR="000F5A2C" w:rsidRPr="002353C3" w:rsidRDefault="000F5A2C" w:rsidP="000F5A2C">
      <w:pPr>
        <w:spacing w:after="0" w:line="360" w:lineRule="auto"/>
        <w:jc w:val="center"/>
        <w:rPr>
          <w:b/>
          <w:sz w:val="36"/>
          <w:szCs w:val="36"/>
          <w:lang w:val="en-GB"/>
        </w:rPr>
      </w:pPr>
      <w:r w:rsidRPr="002353C3">
        <w:rPr>
          <w:b/>
          <w:sz w:val="36"/>
          <w:szCs w:val="36"/>
          <w:lang w:val="en-GB"/>
        </w:rPr>
        <w:t>Charter</w:t>
      </w:r>
    </w:p>
    <w:p w:rsidR="000F5A2C" w:rsidRPr="002353C3" w:rsidRDefault="000F5A2C" w:rsidP="000F5A2C">
      <w:pPr>
        <w:spacing w:after="0" w:line="360" w:lineRule="auto"/>
        <w:jc w:val="center"/>
        <w:rPr>
          <w:sz w:val="36"/>
          <w:szCs w:val="36"/>
          <w:lang w:val="en-GB"/>
        </w:rPr>
      </w:pPr>
    </w:p>
    <w:p w:rsidR="000F5A2C" w:rsidRPr="002353C3" w:rsidRDefault="000F5A2C" w:rsidP="000F5A2C">
      <w:pPr>
        <w:spacing w:after="0" w:line="360" w:lineRule="auto"/>
        <w:rPr>
          <w:b/>
          <w:sz w:val="36"/>
          <w:szCs w:val="36"/>
          <w:lang w:val="en-GB"/>
        </w:rPr>
      </w:pPr>
    </w:p>
    <w:p w:rsidR="000F5A2C" w:rsidRPr="002353C3" w:rsidRDefault="000F5A2C" w:rsidP="000F5A2C">
      <w:pPr>
        <w:spacing w:after="0" w:line="360" w:lineRule="auto"/>
        <w:rPr>
          <w:b/>
          <w:sz w:val="24"/>
          <w:lang w:val="en-GB"/>
        </w:rPr>
      </w:pPr>
      <w:r w:rsidRPr="002353C3">
        <w:rPr>
          <w:b/>
          <w:sz w:val="24"/>
          <w:lang w:val="en-GB"/>
        </w:rPr>
        <w:br w:type="page"/>
      </w:r>
    </w:p>
    <w:p w:rsidR="000F5A2C" w:rsidRPr="00AD5CAE" w:rsidRDefault="000F5A2C" w:rsidP="000F5A2C">
      <w:pPr>
        <w:pStyle w:val="BodyText"/>
        <w:rPr>
          <w:b/>
          <w:lang w:val="en-GB"/>
        </w:rPr>
      </w:pPr>
      <w:r w:rsidRPr="00AD5CAE">
        <w:rPr>
          <w:b/>
          <w:lang w:val="en-GB"/>
        </w:rPr>
        <w:lastRenderedPageBreak/>
        <w:t>Revision History</w:t>
      </w:r>
    </w:p>
    <w:tbl>
      <w:tblPr>
        <w:tblStyle w:val="TableGrid"/>
        <w:tblW w:w="0" w:type="auto"/>
        <w:tblLook w:val="04A0" w:firstRow="1" w:lastRow="0" w:firstColumn="1" w:lastColumn="0" w:noHBand="0" w:noVBand="1"/>
      </w:tblPr>
      <w:tblGrid>
        <w:gridCol w:w="1345"/>
        <w:gridCol w:w="1710"/>
        <w:gridCol w:w="2520"/>
        <w:gridCol w:w="3775"/>
      </w:tblGrid>
      <w:tr w:rsidR="000F5A2C" w:rsidTr="00814F93">
        <w:tc>
          <w:tcPr>
            <w:tcW w:w="1345" w:type="dxa"/>
          </w:tcPr>
          <w:p w:rsidR="000F5A2C" w:rsidRPr="00C90372" w:rsidRDefault="000F5A2C" w:rsidP="00814F93">
            <w:pPr>
              <w:rPr>
                <w:b/>
              </w:rPr>
            </w:pPr>
            <w:r w:rsidRPr="00C90372">
              <w:rPr>
                <w:b/>
              </w:rPr>
              <w:t>Version</w:t>
            </w:r>
          </w:p>
        </w:tc>
        <w:tc>
          <w:tcPr>
            <w:tcW w:w="1710" w:type="dxa"/>
          </w:tcPr>
          <w:p w:rsidR="000F5A2C" w:rsidRPr="00C90372" w:rsidRDefault="000F5A2C" w:rsidP="00814F93">
            <w:pPr>
              <w:rPr>
                <w:b/>
              </w:rPr>
            </w:pPr>
            <w:r w:rsidRPr="00C90372">
              <w:rPr>
                <w:b/>
              </w:rPr>
              <w:t>Date</w:t>
            </w:r>
          </w:p>
        </w:tc>
        <w:tc>
          <w:tcPr>
            <w:tcW w:w="2520" w:type="dxa"/>
          </w:tcPr>
          <w:p w:rsidR="000F5A2C" w:rsidRPr="00C90372" w:rsidRDefault="000F5A2C" w:rsidP="00814F93">
            <w:pPr>
              <w:rPr>
                <w:b/>
              </w:rPr>
            </w:pPr>
            <w:r w:rsidRPr="00C90372">
              <w:rPr>
                <w:b/>
              </w:rPr>
              <w:t>Author(s)</w:t>
            </w:r>
          </w:p>
        </w:tc>
        <w:tc>
          <w:tcPr>
            <w:tcW w:w="3775" w:type="dxa"/>
          </w:tcPr>
          <w:p w:rsidR="000F5A2C" w:rsidRPr="00C90372" w:rsidRDefault="000F5A2C" w:rsidP="00814F93">
            <w:pPr>
              <w:rPr>
                <w:b/>
              </w:rPr>
            </w:pPr>
            <w:r w:rsidRPr="00C90372">
              <w:rPr>
                <w:b/>
              </w:rPr>
              <w:t>Reason for Revision</w:t>
            </w:r>
          </w:p>
        </w:tc>
      </w:tr>
      <w:tr w:rsidR="000F5A2C" w:rsidTr="00814F93">
        <w:tc>
          <w:tcPr>
            <w:tcW w:w="1345" w:type="dxa"/>
          </w:tcPr>
          <w:p w:rsidR="000F5A2C" w:rsidRDefault="00450BCB" w:rsidP="00814F93">
            <w:r>
              <w:t>0.1</w:t>
            </w:r>
          </w:p>
        </w:tc>
        <w:tc>
          <w:tcPr>
            <w:tcW w:w="1710" w:type="dxa"/>
          </w:tcPr>
          <w:p w:rsidR="000F5A2C" w:rsidRDefault="00450BCB" w:rsidP="00814F93">
            <w:r>
              <w:t>22 Nov 2022</w:t>
            </w:r>
          </w:p>
        </w:tc>
        <w:tc>
          <w:tcPr>
            <w:tcW w:w="2520" w:type="dxa"/>
          </w:tcPr>
          <w:p w:rsidR="000F5A2C" w:rsidRDefault="00450BCB" w:rsidP="00814F93">
            <w:r>
              <w:t>Crumb</w:t>
            </w:r>
          </w:p>
        </w:tc>
        <w:tc>
          <w:tcPr>
            <w:tcW w:w="3775" w:type="dxa"/>
          </w:tcPr>
          <w:p w:rsidR="000F5A2C" w:rsidRDefault="00450BCB" w:rsidP="00814F93">
            <w:r>
              <w:t>Initial Creation</w:t>
            </w:r>
          </w:p>
        </w:tc>
      </w:tr>
      <w:tr w:rsidR="000F5A2C" w:rsidTr="00814F93">
        <w:tc>
          <w:tcPr>
            <w:tcW w:w="1345" w:type="dxa"/>
          </w:tcPr>
          <w:p w:rsidR="000F5A2C" w:rsidRDefault="000F5A2C" w:rsidP="00814F93"/>
        </w:tc>
        <w:tc>
          <w:tcPr>
            <w:tcW w:w="1710" w:type="dxa"/>
          </w:tcPr>
          <w:p w:rsidR="000F5A2C" w:rsidRDefault="000F5A2C" w:rsidP="00814F93"/>
        </w:tc>
        <w:tc>
          <w:tcPr>
            <w:tcW w:w="2520" w:type="dxa"/>
          </w:tcPr>
          <w:p w:rsidR="000F5A2C" w:rsidRDefault="000F5A2C" w:rsidP="00814F93"/>
        </w:tc>
        <w:tc>
          <w:tcPr>
            <w:tcW w:w="3775" w:type="dxa"/>
          </w:tcPr>
          <w:p w:rsidR="000F5A2C" w:rsidRDefault="000F5A2C" w:rsidP="00814F93"/>
        </w:tc>
      </w:tr>
      <w:tr w:rsidR="000F5A2C" w:rsidTr="00814F93">
        <w:tc>
          <w:tcPr>
            <w:tcW w:w="1345" w:type="dxa"/>
          </w:tcPr>
          <w:p w:rsidR="000F5A2C" w:rsidRDefault="000F5A2C" w:rsidP="00814F93"/>
        </w:tc>
        <w:tc>
          <w:tcPr>
            <w:tcW w:w="1710" w:type="dxa"/>
          </w:tcPr>
          <w:p w:rsidR="000F5A2C" w:rsidRDefault="000F5A2C" w:rsidP="00814F93"/>
        </w:tc>
        <w:tc>
          <w:tcPr>
            <w:tcW w:w="2520" w:type="dxa"/>
          </w:tcPr>
          <w:p w:rsidR="000F5A2C" w:rsidRDefault="000F5A2C" w:rsidP="00814F93"/>
        </w:tc>
        <w:tc>
          <w:tcPr>
            <w:tcW w:w="3775" w:type="dxa"/>
          </w:tcPr>
          <w:p w:rsidR="000F5A2C" w:rsidRDefault="000F5A2C" w:rsidP="00814F93"/>
        </w:tc>
      </w:tr>
    </w:tbl>
    <w:p w:rsidR="000F5A2C" w:rsidRDefault="000F5A2C" w:rsidP="000F5A2C">
      <w:pPr>
        <w:pStyle w:val="Heading1"/>
        <w:numPr>
          <w:ilvl w:val="0"/>
          <w:numId w:val="0"/>
        </w:numPr>
        <w:spacing w:before="0"/>
        <w:ind w:left="360"/>
        <w:rPr>
          <w:rFonts w:asciiTheme="minorHAnsi" w:hAnsiTheme="minorHAnsi"/>
          <w:color w:val="000000" w:themeColor="text1"/>
          <w:sz w:val="24"/>
          <w:lang w:val="en-GB"/>
        </w:rPr>
      </w:pPr>
    </w:p>
    <w:p w:rsidR="000F5A2C" w:rsidRPr="004B097D" w:rsidRDefault="000F5A2C" w:rsidP="000F5A2C">
      <w:pPr>
        <w:pStyle w:val="BodyText"/>
        <w:rPr>
          <w:b/>
          <w:lang w:val="en-GB"/>
        </w:rPr>
      </w:pPr>
      <w:bookmarkStart w:id="2" w:name="_Toc314410943"/>
      <w:r w:rsidRPr="004B097D">
        <w:rPr>
          <w:b/>
          <w:lang w:val="en-GB"/>
        </w:rPr>
        <w:t>Type &amp; Scope</w:t>
      </w:r>
      <w:bookmarkEnd w:id="2"/>
    </w:p>
    <w:p w:rsidR="00D660E5" w:rsidRDefault="00450BCB" w:rsidP="000F5A2C">
      <w:pPr>
        <w:spacing w:before="240" w:after="120" w:line="240" w:lineRule="auto"/>
        <w:jc w:val="both"/>
      </w:pPr>
      <w:r>
        <w:t xml:space="preserve">Vehicle API Legal is a joint group between AUTOSAR and COVESA in support of the collaboration efforts between the two organizations. The scope of this activity is limited to the Intellectual Property rights management and licensing of technology developed and used in the specification </w:t>
      </w:r>
      <w:r w:rsidR="00BD298E">
        <w:t xml:space="preserve">of </w:t>
      </w:r>
      <w:r>
        <w:t>and development of a joint Vehicle API.</w:t>
      </w:r>
    </w:p>
    <w:p w:rsidR="000F5A2C" w:rsidRPr="004B097D" w:rsidRDefault="000F5A2C" w:rsidP="000F5A2C">
      <w:pPr>
        <w:pStyle w:val="BodyText"/>
        <w:rPr>
          <w:b/>
          <w:lang w:val="en-GB"/>
        </w:rPr>
      </w:pPr>
      <w:r w:rsidRPr="004B097D">
        <w:rPr>
          <w:b/>
          <w:lang w:val="en-GB"/>
        </w:rPr>
        <w:t>Responsibilities</w:t>
      </w:r>
    </w:p>
    <w:p w:rsidR="00450BCB" w:rsidRDefault="00450BCB" w:rsidP="00450BCB">
      <w:pPr>
        <w:spacing w:before="240" w:after="120" w:line="240" w:lineRule="auto"/>
        <w:jc w:val="both"/>
      </w:pPr>
      <w:r>
        <w:t xml:space="preserve">This joint group will explore the intellectual property rights management and licensing models necessary to develop and deliver a Vehicle API to </w:t>
      </w:r>
      <w:r w:rsidR="00BD298E">
        <w:t xml:space="preserve">members/partners and </w:t>
      </w:r>
      <w:r>
        <w:t xml:space="preserve">the industry using open licensing models. </w:t>
      </w:r>
    </w:p>
    <w:p w:rsidR="004B27B3" w:rsidRDefault="00450BCB" w:rsidP="00450BCB">
      <w:pPr>
        <w:spacing w:before="240" w:after="120" w:line="240" w:lineRule="auto"/>
        <w:jc w:val="both"/>
      </w:pPr>
      <w:r>
        <w:t>The group will begin by summarizing the respective IP management and licensing models of AUTOSAR and COVESA in a document. The group will then review the Charter document produced by the Vehicle API Technical group to determine</w:t>
      </w:r>
      <w:r w:rsidR="004B27B3">
        <w:t>:</w:t>
      </w:r>
    </w:p>
    <w:p w:rsidR="004B27B3" w:rsidRDefault="00450BCB" w:rsidP="004B27B3">
      <w:pPr>
        <w:pStyle w:val="ListParagraph"/>
        <w:numPr>
          <w:ilvl w:val="0"/>
          <w:numId w:val="10"/>
        </w:numPr>
        <w:spacing w:before="240" w:after="120" w:line="240" w:lineRule="auto"/>
        <w:jc w:val="both"/>
      </w:pPr>
      <w:r>
        <w:t xml:space="preserve">what outputs are expected </w:t>
      </w:r>
    </w:p>
    <w:p w:rsidR="004B27B3" w:rsidRDefault="004B27B3" w:rsidP="004B27B3">
      <w:pPr>
        <w:pStyle w:val="ListParagraph"/>
        <w:numPr>
          <w:ilvl w:val="0"/>
          <w:numId w:val="10"/>
        </w:numPr>
        <w:spacing w:before="240" w:after="120" w:line="240" w:lineRule="auto"/>
        <w:jc w:val="both"/>
      </w:pPr>
      <w:proofErr w:type="gramStart"/>
      <w:r>
        <w:t>how</w:t>
      </w:r>
      <w:proofErr w:type="gramEnd"/>
      <w:r>
        <w:t xml:space="preserve"> the group intends to collaborate to produce those outputs.</w:t>
      </w:r>
    </w:p>
    <w:p w:rsidR="004B27B3" w:rsidRDefault="004B27B3" w:rsidP="004B27B3">
      <w:pPr>
        <w:spacing w:before="240" w:after="120" w:line="240" w:lineRule="auto"/>
        <w:jc w:val="both"/>
      </w:pPr>
      <w:r>
        <w:t xml:space="preserve">From this analysis, the group shall </w:t>
      </w:r>
      <w:r w:rsidR="00450BCB">
        <w:t>produce recommendation</w:t>
      </w:r>
      <w:r>
        <w:t>s</w:t>
      </w:r>
      <w:r w:rsidR="00450BCB">
        <w:t xml:space="preserve"> to the Vehicle API Steering Body (power point) </w:t>
      </w:r>
      <w:r>
        <w:t>specifying:</w:t>
      </w:r>
    </w:p>
    <w:p w:rsidR="004B27B3" w:rsidRDefault="00450BCB" w:rsidP="004B27B3">
      <w:pPr>
        <w:pStyle w:val="ListParagraph"/>
        <w:numPr>
          <w:ilvl w:val="0"/>
          <w:numId w:val="10"/>
        </w:numPr>
        <w:spacing w:before="240" w:after="120" w:line="240" w:lineRule="auto"/>
        <w:jc w:val="both"/>
      </w:pPr>
      <w:r>
        <w:t xml:space="preserve">how </w:t>
      </w:r>
      <w:r w:rsidR="004B27B3">
        <w:t>the expected</w:t>
      </w:r>
      <w:r>
        <w:t xml:space="preserve"> outputs may be licensed in an open way</w:t>
      </w:r>
      <w:r w:rsidR="004B27B3">
        <w:t xml:space="preserve"> and consistent with the respective IP management and licensing models of the two organizations</w:t>
      </w:r>
    </w:p>
    <w:p w:rsidR="004B27B3" w:rsidRDefault="004B27B3" w:rsidP="004B27B3">
      <w:pPr>
        <w:pStyle w:val="ListParagraph"/>
        <w:numPr>
          <w:ilvl w:val="0"/>
          <w:numId w:val="10"/>
        </w:numPr>
        <w:spacing w:before="240" w:after="120" w:line="240" w:lineRule="auto"/>
        <w:jc w:val="both"/>
      </w:pPr>
      <w:proofErr w:type="gramStart"/>
      <w:r>
        <w:t>how</w:t>
      </w:r>
      <w:proofErr w:type="gramEnd"/>
      <w:r>
        <w:t xml:space="preserve"> the Vehicle API Technical group should operate including, but not limited to, required contribution agreements, “note well” statements at the beginning of each meeting, collaborative tool considerations, communications and access to Technical group artifacts by parties not actively attending Technical Group meetings.</w:t>
      </w:r>
    </w:p>
    <w:p w:rsidR="00450BCB" w:rsidRPr="00450BCB" w:rsidRDefault="004B27B3" w:rsidP="004B27B3">
      <w:pPr>
        <w:spacing w:before="240" w:after="120" w:line="240" w:lineRule="auto"/>
        <w:jc w:val="both"/>
        <w:rPr>
          <w:lang w:val="en-GB"/>
        </w:rPr>
      </w:pPr>
      <w:r>
        <w:t>Based on the outcome of the Steering Body’s decisions, the group shall produce and post a document informing all parties interested in the Vehicle API collaboration on the IP and licensing rules of engagement.</w:t>
      </w:r>
      <w:r w:rsidR="00BD298E">
        <w:t xml:space="preserve">  This document will be used in the operations of the Vehicle API Technical group and in communication to other parties interested in participating.</w:t>
      </w:r>
    </w:p>
    <w:p w:rsidR="00450BCB" w:rsidRDefault="00450BCB" w:rsidP="000F5A2C">
      <w:pPr>
        <w:pStyle w:val="BodyText"/>
        <w:rPr>
          <w:b/>
          <w:lang w:val="en-GB"/>
        </w:rPr>
      </w:pPr>
    </w:p>
    <w:p w:rsidR="000F5A2C" w:rsidRPr="004B097D" w:rsidRDefault="000F5A2C" w:rsidP="000F5A2C">
      <w:pPr>
        <w:pStyle w:val="BodyText"/>
        <w:rPr>
          <w:b/>
          <w:lang w:val="en-GB"/>
        </w:rPr>
      </w:pPr>
      <w:r w:rsidRPr="004B097D">
        <w:rPr>
          <w:b/>
          <w:lang w:val="en-GB"/>
        </w:rPr>
        <w:t>Way of Working (</w:t>
      </w:r>
      <w:proofErr w:type="spellStart"/>
      <w:r w:rsidRPr="004B097D">
        <w:rPr>
          <w:b/>
          <w:lang w:val="en-GB"/>
        </w:rPr>
        <w:t>WoW</w:t>
      </w:r>
      <w:proofErr w:type="spellEnd"/>
      <w:r w:rsidRPr="004B097D">
        <w:rPr>
          <w:b/>
          <w:lang w:val="en-GB"/>
        </w:rPr>
        <w:t>)</w:t>
      </w:r>
    </w:p>
    <w:p w:rsidR="000F5A2C" w:rsidRDefault="004B27B3" w:rsidP="000F5A2C">
      <w:pPr>
        <w:rPr>
          <w:lang w:val="en-GB"/>
        </w:rPr>
      </w:pPr>
      <w:r>
        <w:rPr>
          <w:lang w:val="en-GB"/>
        </w:rPr>
        <w:t xml:space="preserve">This joint work will meet virtually on an agreed cadence (at least monthly) to discuss and produce drafts of the artifacts mentioned above.  Minutes of meeting shall be taken and made available to any participant of the Vehicle API collaboration from either organization. Draft documents </w:t>
      </w:r>
      <w:r w:rsidR="00B850E1">
        <w:rPr>
          <w:lang w:val="en-GB"/>
        </w:rPr>
        <w:t xml:space="preserve">and presentations </w:t>
      </w:r>
      <w:r>
        <w:rPr>
          <w:lang w:val="en-GB"/>
        </w:rPr>
        <w:t xml:space="preserve">shall be </w:t>
      </w:r>
      <w:r w:rsidR="00B850E1">
        <w:rPr>
          <w:lang w:val="en-GB"/>
        </w:rPr>
        <w:t xml:space="preserve">iteratively </w:t>
      </w:r>
      <w:r>
        <w:rPr>
          <w:lang w:val="en-GB"/>
        </w:rPr>
        <w:t>developed in Word format and drafts stored on the Vehicle API branch of the COVESA Wiki.</w:t>
      </w:r>
    </w:p>
    <w:p w:rsidR="000F5A2C" w:rsidRPr="004B097D" w:rsidRDefault="000F5A2C" w:rsidP="000F5A2C">
      <w:pPr>
        <w:pStyle w:val="BodyText"/>
        <w:rPr>
          <w:b/>
          <w:lang w:val="en-GB"/>
        </w:rPr>
      </w:pPr>
      <w:r w:rsidRPr="004B097D">
        <w:rPr>
          <w:b/>
          <w:lang w:val="en-GB"/>
        </w:rPr>
        <w:lastRenderedPageBreak/>
        <w:t>Planned Output</w:t>
      </w:r>
    </w:p>
    <w:p w:rsidR="000F5A2C" w:rsidRDefault="00B850E1" w:rsidP="000F5A2C">
      <w:pPr>
        <w:spacing w:before="240" w:after="120" w:line="240" w:lineRule="auto"/>
        <w:jc w:val="both"/>
      </w:pPr>
      <w:r>
        <w:t>The joint group shall produce and make available the following outputs:</w:t>
      </w:r>
    </w:p>
    <w:p w:rsidR="00B850E1" w:rsidRDefault="00B850E1" w:rsidP="000F5A2C">
      <w:pPr>
        <w:spacing w:before="240" w:after="120" w:line="240" w:lineRule="auto"/>
        <w:jc w:val="both"/>
      </w:pPr>
      <w:r>
        <w:t>1. Charter document (by 16 December 2022)</w:t>
      </w:r>
    </w:p>
    <w:p w:rsidR="00B850E1" w:rsidRDefault="00B850E1" w:rsidP="000F5A2C">
      <w:pPr>
        <w:spacing w:before="240" w:after="120" w:line="240" w:lineRule="auto"/>
        <w:jc w:val="both"/>
      </w:pPr>
      <w:r>
        <w:t>2. Document summarizing current Intellectual Property and licensing models of AUTOSAR and COVESA (by end of January 2023)</w:t>
      </w:r>
    </w:p>
    <w:p w:rsidR="00B850E1" w:rsidRDefault="00B850E1" w:rsidP="000F5A2C">
      <w:pPr>
        <w:spacing w:before="240" w:after="120" w:line="240" w:lineRule="auto"/>
        <w:jc w:val="both"/>
      </w:pPr>
      <w:r>
        <w:t>3. A PowerPoint presentation to the Steering Body to recommend IP management and licensing models of the Vehicle API Technical group as well as operational approaches to work within those recommendations (by end of February 2023)</w:t>
      </w:r>
    </w:p>
    <w:p w:rsidR="00B850E1" w:rsidRDefault="00B850E1" w:rsidP="000F5A2C">
      <w:pPr>
        <w:spacing w:before="240" w:after="120" w:line="240" w:lineRule="auto"/>
        <w:jc w:val="both"/>
      </w:pPr>
      <w:r>
        <w:t>4. A document specifying the Steering Body-approved operating processes and procedures document (by end of March 2023).</w:t>
      </w:r>
    </w:p>
    <w:p w:rsidR="00BD298E" w:rsidRDefault="00BD298E" w:rsidP="000F5A2C">
      <w:pPr>
        <w:pStyle w:val="BodyText"/>
        <w:rPr>
          <w:rFonts w:asciiTheme="minorHAnsi" w:eastAsiaTheme="minorEastAsia" w:hAnsiTheme="minorHAnsi" w:cstheme="minorBidi"/>
          <w:sz w:val="22"/>
          <w:szCs w:val="22"/>
        </w:rPr>
      </w:pPr>
    </w:p>
    <w:p w:rsidR="000F5A2C" w:rsidRPr="004B097D" w:rsidRDefault="000F5A2C" w:rsidP="000F5A2C">
      <w:pPr>
        <w:pStyle w:val="BodyText"/>
        <w:rPr>
          <w:b/>
          <w:lang w:val="en-GB"/>
        </w:rPr>
      </w:pPr>
      <w:r w:rsidRPr="004B097D">
        <w:rPr>
          <w:b/>
          <w:lang w:val="en-GB"/>
        </w:rPr>
        <w:t>Processes &amp; Procedures</w:t>
      </w:r>
    </w:p>
    <w:p w:rsidR="000F5A2C" w:rsidRDefault="00B850E1" w:rsidP="000F5A2C">
      <w:pPr>
        <w:spacing w:before="240" w:after="120" w:line="240" w:lineRule="auto"/>
        <w:jc w:val="both"/>
      </w:pPr>
      <w:r>
        <w:t>This group</w:t>
      </w:r>
      <w:r w:rsidR="000E1B7D">
        <w:t xml:space="preserve"> s</w:t>
      </w:r>
      <w:bookmarkStart w:id="3" w:name="_GoBack"/>
      <w:bookmarkEnd w:id="3"/>
      <w:r>
        <w:t>hall have no specific processes or procedures other than normal best practices of collaborative meetings, including advanced notification of meetings, clear agenda and recording/distributing minutes of meeting.</w:t>
      </w:r>
    </w:p>
    <w:p w:rsidR="00B850E1" w:rsidRDefault="00B850E1" w:rsidP="000F5A2C">
      <w:pPr>
        <w:spacing w:before="240" w:after="120" w:line="240" w:lineRule="auto"/>
        <w:jc w:val="both"/>
        <w:rPr>
          <w:b/>
        </w:rPr>
      </w:pPr>
    </w:p>
    <w:p w:rsidR="000F5A2C" w:rsidRPr="004B097D" w:rsidRDefault="000F5A2C" w:rsidP="000F5A2C">
      <w:pPr>
        <w:pStyle w:val="BodyText"/>
        <w:rPr>
          <w:b/>
          <w:lang w:val="en-GB"/>
        </w:rPr>
      </w:pPr>
      <w:bookmarkStart w:id="4" w:name="_Toc314410953"/>
      <w:r w:rsidRPr="004B097D">
        <w:rPr>
          <w:b/>
          <w:lang w:val="en-GB"/>
        </w:rPr>
        <w:t>Participants</w:t>
      </w:r>
      <w:bookmarkEnd w:id="4"/>
    </w:p>
    <w:p w:rsidR="000F5A2C" w:rsidRDefault="00B850E1" w:rsidP="000F5A2C">
      <w:pPr>
        <w:spacing w:before="240" w:after="120" w:line="240" w:lineRule="auto"/>
        <w:jc w:val="both"/>
      </w:pPr>
      <w:r>
        <w:t>The initial participants of the joint group shall be interested parties from the staff/vendors and membership/partnership of COVESA and AUTOSAR that have a reasonable understanding IP management and licensing models, including open licensing.</w:t>
      </w:r>
    </w:p>
    <w:p w:rsidR="00B850E1" w:rsidRDefault="00B850E1" w:rsidP="000F5A2C">
      <w:pPr>
        <w:spacing w:before="240" w:after="120" w:line="240" w:lineRule="auto"/>
        <w:jc w:val="both"/>
        <w:rPr>
          <w:i/>
          <w:color w:val="1F497D" w:themeColor="text2"/>
        </w:rPr>
      </w:pPr>
    </w:p>
    <w:p w:rsidR="000F5A2C" w:rsidRPr="004B097D" w:rsidRDefault="000F5A2C" w:rsidP="000F5A2C">
      <w:pPr>
        <w:pStyle w:val="BodyText"/>
        <w:rPr>
          <w:b/>
          <w:lang w:val="en-GB"/>
        </w:rPr>
      </w:pPr>
      <w:bookmarkStart w:id="5" w:name="_Toc314410965"/>
      <w:r>
        <w:rPr>
          <w:b/>
          <w:lang w:val="en-GB"/>
        </w:rPr>
        <w:t>Chairs &amp; Vice-Chairs</w:t>
      </w:r>
    </w:p>
    <w:p w:rsidR="000F5A2C" w:rsidRDefault="00B850E1" w:rsidP="000F5A2C">
      <w:pPr>
        <w:rPr>
          <w:lang w:val="en-GB"/>
        </w:rPr>
      </w:pPr>
      <w:r>
        <w:rPr>
          <w:lang w:val="en-GB"/>
        </w:rPr>
        <w:t>The joint group shall launch with co-Chairs:</w:t>
      </w:r>
    </w:p>
    <w:p w:rsidR="00B850E1" w:rsidRPr="00D660E5" w:rsidRDefault="00B850E1" w:rsidP="00D660E5">
      <w:pPr>
        <w:pStyle w:val="ListParagraph"/>
        <w:numPr>
          <w:ilvl w:val="0"/>
          <w:numId w:val="11"/>
        </w:numPr>
        <w:rPr>
          <w:lang w:val="en-GB"/>
        </w:rPr>
      </w:pPr>
      <w:r w:rsidRPr="00D660E5">
        <w:rPr>
          <w:lang w:val="en-GB"/>
        </w:rPr>
        <w:t xml:space="preserve">Michael </w:t>
      </w:r>
      <w:proofErr w:type="spellStart"/>
      <w:r w:rsidRPr="00D660E5">
        <w:rPr>
          <w:lang w:val="en-GB"/>
        </w:rPr>
        <w:t>Niklas-Hoeret</w:t>
      </w:r>
      <w:proofErr w:type="spellEnd"/>
      <w:r w:rsidRPr="00D660E5">
        <w:rPr>
          <w:lang w:val="en-GB"/>
        </w:rPr>
        <w:t xml:space="preserve"> (Deputy Spokesperson, AUTOSAR)</w:t>
      </w:r>
    </w:p>
    <w:p w:rsidR="00B850E1" w:rsidRPr="00D660E5" w:rsidRDefault="00B850E1" w:rsidP="00D660E5">
      <w:pPr>
        <w:pStyle w:val="ListParagraph"/>
        <w:numPr>
          <w:ilvl w:val="0"/>
          <w:numId w:val="11"/>
        </w:numPr>
        <w:rPr>
          <w:lang w:val="en-GB"/>
        </w:rPr>
      </w:pPr>
      <w:r w:rsidRPr="00D660E5">
        <w:rPr>
          <w:lang w:val="en-GB"/>
        </w:rPr>
        <w:t>Steve Crumb (Executive Director, COVESA)</w:t>
      </w:r>
    </w:p>
    <w:bookmarkEnd w:id="5"/>
    <w:p w:rsidR="00D660E5" w:rsidRDefault="00D660E5" w:rsidP="000F5A2C">
      <w:pPr>
        <w:pStyle w:val="BodyText"/>
        <w:rPr>
          <w:b/>
          <w:lang w:val="en-GB"/>
        </w:rPr>
      </w:pPr>
    </w:p>
    <w:p w:rsidR="000F5A2C" w:rsidRPr="004B097D" w:rsidRDefault="000F5A2C" w:rsidP="000F5A2C">
      <w:pPr>
        <w:pStyle w:val="BodyText"/>
        <w:rPr>
          <w:b/>
          <w:lang w:val="en-GB"/>
        </w:rPr>
      </w:pPr>
      <w:r w:rsidRPr="004B097D">
        <w:rPr>
          <w:b/>
          <w:lang w:val="en-GB"/>
        </w:rPr>
        <w:t>Lifecycle and End of Life</w:t>
      </w:r>
    </w:p>
    <w:p w:rsidR="00D96691" w:rsidRDefault="00D660E5" w:rsidP="00D660E5">
      <w:pPr>
        <w:spacing w:before="240" w:after="120" w:line="240" w:lineRule="auto"/>
        <w:jc w:val="both"/>
        <w:rPr>
          <w:lang w:val="en-GB"/>
        </w:rPr>
      </w:pPr>
      <w:r>
        <w:rPr>
          <w:lang w:val="en-GB"/>
        </w:rPr>
        <w:t>The group shall remain in place until such time that the Vehicle API collaboration successfully completes its activities or is otherwise terminated by the Steering Body.</w:t>
      </w:r>
    </w:p>
    <w:sectPr w:rsidR="00D96691" w:rsidSect="008F28A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1AC" w:rsidRDefault="00DA41AC" w:rsidP="0010301A">
      <w:pPr>
        <w:spacing w:after="0" w:line="240" w:lineRule="auto"/>
      </w:pPr>
      <w:r>
        <w:separator/>
      </w:r>
    </w:p>
  </w:endnote>
  <w:endnote w:type="continuationSeparator" w:id="0">
    <w:p w:rsidR="00DA41AC" w:rsidRDefault="00DA41AC" w:rsidP="0010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22" w:rsidRPr="0010301A" w:rsidRDefault="00B850E1" w:rsidP="0010301A">
    <w:pPr>
      <w:pStyle w:val="Footer"/>
      <w:jc w:val="right"/>
      <w:rPr>
        <w:sz w:val="18"/>
      </w:rPr>
    </w:pPr>
    <w:r>
      <w:rPr>
        <w:sz w:val="18"/>
      </w:rPr>
      <w:t xml:space="preserve">AUTOSAR / </w:t>
    </w:r>
    <w:r w:rsidR="00AC0D8C">
      <w:rPr>
        <w:sz w:val="18"/>
      </w:rPr>
      <w:t>COVESA</w:t>
    </w:r>
    <w:r w:rsidR="00E31F7E">
      <w:rPr>
        <w:sz w:val="18"/>
      </w:rPr>
      <w:t xml:space="preserve"> – </w:t>
    </w:r>
    <w:r>
      <w:rPr>
        <w:sz w:val="18"/>
      </w:rPr>
      <w:t>Vehicle API Legal</w:t>
    </w:r>
    <w:r w:rsidR="00E31F7E">
      <w:rPr>
        <w:sz w:val="18"/>
      </w:rPr>
      <w:t xml:space="preserve"> </w:t>
    </w:r>
    <w:r w:rsidR="00792222">
      <w:rPr>
        <w:sz w:val="18"/>
      </w:rPr>
      <w:t>Charter</w:t>
    </w:r>
    <w:r w:rsidR="00792222" w:rsidRPr="0010301A">
      <w:rPr>
        <w:sz w:val="18"/>
      </w:rPr>
      <w:tab/>
    </w:r>
    <w:r w:rsidR="00792222" w:rsidRPr="0010301A">
      <w:rPr>
        <w:sz w:val="18"/>
      </w:rPr>
      <w:tab/>
    </w:r>
    <w:sdt>
      <w:sdtPr>
        <w:rPr>
          <w:sz w:val="18"/>
        </w:rPr>
        <w:id w:val="306025813"/>
        <w:docPartObj>
          <w:docPartGallery w:val="Page Numbers (Bottom of Page)"/>
          <w:docPartUnique/>
        </w:docPartObj>
      </w:sdtPr>
      <w:sdtEndPr/>
      <w:sdtContent>
        <w:r w:rsidR="00792222" w:rsidRPr="0010301A">
          <w:rPr>
            <w:sz w:val="18"/>
          </w:rPr>
          <w:fldChar w:fldCharType="begin"/>
        </w:r>
        <w:r w:rsidR="00792222" w:rsidRPr="0010301A">
          <w:rPr>
            <w:sz w:val="18"/>
          </w:rPr>
          <w:instrText xml:space="preserve"> PAGE   \* MERGEFORMAT </w:instrText>
        </w:r>
        <w:r w:rsidR="00792222" w:rsidRPr="0010301A">
          <w:rPr>
            <w:sz w:val="18"/>
          </w:rPr>
          <w:fldChar w:fldCharType="separate"/>
        </w:r>
        <w:r w:rsidR="000E1B7D">
          <w:rPr>
            <w:noProof/>
            <w:sz w:val="18"/>
          </w:rPr>
          <w:t>3</w:t>
        </w:r>
        <w:r w:rsidR="00792222" w:rsidRPr="0010301A">
          <w:rPr>
            <w:sz w:val="18"/>
          </w:rPr>
          <w:fldChar w:fldCharType="end"/>
        </w:r>
      </w:sdtContent>
    </w:sdt>
    <w:r w:rsidR="00830B89">
      <w:rPr>
        <w:sz w:val="18"/>
      </w:rPr>
      <w:t>/</w:t>
    </w:r>
    <w:r w:rsidR="0003663D">
      <w:rPr>
        <w:noProof/>
        <w:sz w:val="18"/>
      </w:rPr>
      <w:fldChar w:fldCharType="begin"/>
    </w:r>
    <w:r w:rsidR="0003663D">
      <w:rPr>
        <w:noProof/>
        <w:sz w:val="18"/>
      </w:rPr>
      <w:instrText xml:space="preserve"> NUMPAGES   \* MERGEFORMAT </w:instrText>
    </w:r>
    <w:r w:rsidR="0003663D">
      <w:rPr>
        <w:noProof/>
        <w:sz w:val="18"/>
      </w:rPr>
      <w:fldChar w:fldCharType="separate"/>
    </w:r>
    <w:r w:rsidR="000E1B7D">
      <w:rPr>
        <w:noProof/>
        <w:sz w:val="18"/>
      </w:rPr>
      <w:t>3</w:t>
    </w:r>
    <w:r w:rsidR="0003663D">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1AC" w:rsidRDefault="00DA41AC" w:rsidP="0010301A">
      <w:pPr>
        <w:spacing w:after="0" w:line="240" w:lineRule="auto"/>
      </w:pPr>
      <w:r>
        <w:separator/>
      </w:r>
    </w:p>
  </w:footnote>
  <w:footnote w:type="continuationSeparator" w:id="0">
    <w:p w:rsidR="00DA41AC" w:rsidRDefault="00DA41AC" w:rsidP="00103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56FE3"/>
    <w:multiLevelType w:val="hybridMultilevel"/>
    <w:tmpl w:val="F258D58A"/>
    <w:lvl w:ilvl="0" w:tplc="3EC69AC2">
      <w:start w:val="1"/>
      <w:numFmt w:val="decimal"/>
      <w:lvlText w:val="%1."/>
      <w:lvlJc w:val="left"/>
      <w:pPr>
        <w:ind w:left="720" w:hanging="360"/>
      </w:pPr>
      <w:rPr>
        <w:rFonts w:hint="default"/>
        <w:b/>
      </w:rPr>
    </w:lvl>
    <w:lvl w:ilvl="1" w:tplc="69FE8BD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63C6206"/>
    <w:multiLevelType w:val="hybridMultilevel"/>
    <w:tmpl w:val="A4280DEC"/>
    <w:lvl w:ilvl="0" w:tplc="2466C450">
      <w:start w:val="2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B64F3"/>
    <w:multiLevelType w:val="hybridMultilevel"/>
    <w:tmpl w:val="327C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D732C"/>
    <w:multiLevelType w:val="hybridMultilevel"/>
    <w:tmpl w:val="39865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42627"/>
    <w:multiLevelType w:val="multilevel"/>
    <w:tmpl w:val="7E1C9DB0"/>
    <w:lvl w:ilvl="0">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68C0D5F"/>
    <w:multiLevelType w:val="hybridMultilevel"/>
    <w:tmpl w:val="52B2DB4C"/>
    <w:lvl w:ilvl="0" w:tplc="69FE8BD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6B7DCD"/>
    <w:multiLevelType w:val="hybridMultilevel"/>
    <w:tmpl w:val="10C4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D406114">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30B28"/>
    <w:multiLevelType w:val="hybridMultilevel"/>
    <w:tmpl w:val="7C80DFEC"/>
    <w:lvl w:ilvl="0" w:tplc="2466C450">
      <w:start w:val="2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5"/>
  </w:num>
  <w:num w:numId="7">
    <w:abstractNumId w:val="6"/>
  </w:num>
  <w:num w:numId="8">
    <w:abstractNumId w:val="4"/>
  </w:num>
  <w:num w:numId="9">
    <w:abstractNumId w:val="2"/>
  </w:num>
  <w:num w:numId="10">
    <w:abstractNumId w:val="1"/>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9E"/>
    <w:rsid w:val="00003CDD"/>
    <w:rsid w:val="000052CF"/>
    <w:rsid w:val="00006C18"/>
    <w:rsid w:val="00021A13"/>
    <w:rsid w:val="0003663D"/>
    <w:rsid w:val="00036B8D"/>
    <w:rsid w:val="00041D5D"/>
    <w:rsid w:val="0005121D"/>
    <w:rsid w:val="00072EC7"/>
    <w:rsid w:val="00080718"/>
    <w:rsid w:val="00085428"/>
    <w:rsid w:val="000862D5"/>
    <w:rsid w:val="00093B85"/>
    <w:rsid w:val="000D13E7"/>
    <w:rsid w:val="000E0BF2"/>
    <w:rsid w:val="000E1B7D"/>
    <w:rsid w:val="000F5A2C"/>
    <w:rsid w:val="0010301A"/>
    <w:rsid w:val="00134AD3"/>
    <w:rsid w:val="00155825"/>
    <w:rsid w:val="00162E46"/>
    <w:rsid w:val="00164EA3"/>
    <w:rsid w:val="00176258"/>
    <w:rsid w:val="00183948"/>
    <w:rsid w:val="0019172B"/>
    <w:rsid w:val="001A5C58"/>
    <w:rsid w:val="001B4EDC"/>
    <w:rsid w:val="001C1D89"/>
    <w:rsid w:val="001C2C57"/>
    <w:rsid w:val="001C2FAF"/>
    <w:rsid w:val="001D0F14"/>
    <w:rsid w:val="00204CFA"/>
    <w:rsid w:val="00207128"/>
    <w:rsid w:val="00212E87"/>
    <w:rsid w:val="00216504"/>
    <w:rsid w:val="00230C28"/>
    <w:rsid w:val="002353C3"/>
    <w:rsid w:val="00242B9C"/>
    <w:rsid w:val="0024312E"/>
    <w:rsid w:val="00245863"/>
    <w:rsid w:val="00256E62"/>
    <w:rsid w:val="00261FC6"/>
    <w:rsid w:val="00263DE4"/>
    <w:rsid w:val="002B7FF0"/>
    <w:rsid w:val="002D7DDD"/>
    <w:rsid w:val="0030227C"/>
    <w:rsid w:val="00304859"/>
    <w:rsid w:val="00307B6E"/>
    <w:rsid w:val="00326FEF"/>
    <w:rsid w:val="00330000"/>
    <w:rsid w:val="00363851"/>
    <w:rsid w:val="003653A1"/>
    <w:rsid w:val="00372E5D"/>
    <w:rsid w:val="00385694"/>
    <w:rsid w:val="00387E37"/>
    <w:rsid w:val="00393D21"/>
    <w:rsid w:val="003A2543"/>
    <w:rsid w:val="003B1A35"/>
    <w:rsid w:val="003C2697"/>
    <w:rsid w:val="003E0CB8"/>
    <w:rsid w:val="00401618"/>
    <w:rsid w:val="00434A4B"/>
    <w:rsid w:val="00446B80"/>
    <w:rsid w:val="00450BCB"/>
    <w:rsid w:val="00497FBF"/>
    <w:rsid w:val="004B006E"/>
    <w:rsid w:val="004B0252"/>
    <w:rsid w:val="004B27B3"/>
    <w:rsid w:val="004C03F7"/>
    <w:rsid w:val="004E2A2D"/>
    <w:rsid w:val="004F748C"/>
    <w:rsid w:val="004F7EAE"/>
    <w:rsid w:val="005479F1"/>
    <w:rsid w:val="00567B3C"/>
    <w:rsid w:val="00595B0F"/>
    <w:rsid w:val="005E3D47"/>
    <w:rsid w:val="005F1BB2"/>
    <w:rsid w:val="00621CEC"/>
    <w:rsid w:val="00640A88"/>
    <w:rsid w:val="0064737B"/>
    <w:rsid w:val="006578B5"/>
    <w:rsid w:val="00666C57"/>
    <w:rsid w:val="006A768C"/>
    <w:rsid w:val="006C4C30"/>
    <w:rsid w:val="006D1BDF"/>
    <w:rsid w:val="006D4D7B"/>
    <w:rsid w:val="006D58CD"/>
    <w:rsid w:val="006D6C93"/>
    <w:rsid w:val="006F1F12"/>
    <w:rsid w:val="00714C25"/>
    <w:rsid w:val="00716A52"/>
    <w:rsid w:val="00726A9D"/>
    <w:rsid w:val="00764649"/>
    <w:rsid w:val="00770102"/>
    <w:rsid w:val="00783D0A"/>
    <w:rsid w:val="00792222"/>
    <w:rsid w:val="0079257C"/>
    <w:rsid w:val="007A41FF"/>
    <w:rsid w:val="007A6E94"/>
    <w:rsid w:val="007A7B48"/>
    <w:rsid w:val="007B49D1"/>
    <w:rsid w:val="007E2BB8"/>
    <w:rsid w:val="007F36FF"/>
    <w:rsid w:val="00805E29"/>
    <w:rsid w:val="00816F50"/>
    <w:rsid w:val="00830B89"/>
    <w:rsid w:val="00854EF9"/>
    <w:rsid w:val="00861BB7"/>
    <w:rsid w:val="0087648F"/>
    <w:rsid w:val="008A767C"/>
    <w:rsid w:val="008C4160"/>
    <w:rsid w:val="008E3307"/>
    <w:rsid w:val="008F28AE"/>
    <w:rsid w:val="009536D0"/>
    <w:rsid w:val="009577D2"/>
    <w:rsid w:val="00970EE6"/>
    <w:rsid w:val="00997F63"/>
    <w:rsid w:val="009A3ACA"/>
    <w:rsid w:val="009D6B8C"/>
    <w:rsid w:val="009E391F"/>
    <w:rsid w:val="00A05128"/>
    <w:rsid w:val="00A1145E"/>
    <w:rsid w:val="00A26287"/>
    <w:rsid w:val="00A36FAA"/>
    <w:rsid w:val="00A533B4"/>
    <w:rsid w:val="00A60D27"/>
    <w:rsid w:val="00A641D8"/>
    <w:rsid w:val="00A77700"/>
    <w:rsid w:val="00A9087D"/>
    <w:rsid w:val="00AA4B9E"/>
    <w:rsid w:val="00AC0D8C"/>
    <w:rsid w:val="00AC46D2"/>
    <w:rsid w:val="00AC496C"/>
    <w:rsid w:val="00AC770E"/>
    <w:rsid w:val="00AC7D3E"/>
    <w:rsid w:val="00AD386E"/>
    <w:rsid w:val="00AE492E"/>
    <w:rsid w:val="00AF50BC"/>
    <w:rsid w:val="00B03F28"/>
    <w:rsid w:val="00B71B25"/>
    <w:rsid w:val="00B83665"/>
    <w:rsid w:val="00B850E1"/>
    <w:rsid w:val="00B9456F"/>
    <w:rsid w:val="00B95105"/>
    <w:rsid w:val="00BA218A"/>
    <w:rsid w:val="00BA42C9"/>
    <w:rsid w:val="00BC5619"/>
    <w:rsid w:val="00BD298E"/>
    <w:rsid w:val="00BD5E9B"/>
    <w:rsid w:val="00BD6A28"/>
    <w:rsid w:val="00C045C6"/>
    <w:rsid w:val="00C15ECF"/>
    <w:rsid w:val="00C25D73"/>
    <w:rsid w:val="00C37105"/>
    <w:rsid w:val="00C90372"/>
    <w:rsid w:val="00C90D69"/>
    <w:rsid w:val="00C97A6D"/>
    <w:rsid w:val="00CA3818"/>
    <w:rsid w:val="00CA4224"/>
    <w:rsid w:val="00CC7E0B"/>
    <w:rsid w:val="00CE0D31"/>
    <w:rsid w:val="00CE2621"/>
    <w:rsid w:val="00CE6D37"/>
    <w:rsid w:val="00CF18F3"/>
    <w:rsid w:val="00D01D2A"/>
    <w:rsid w:val="00D11843"/>
    <w:rsid w:val="00D37915"/>
    <w:rsid w:val="00D44169"/>
    <w:rsid w:val="00D60C05"/>
    <w:rsid w:val="00D61ACF"/>
    <w:rsid w:val="00D660E5"/>
    <w:rsid w:val="00D70332"/>
    <w:rsid w:val="00D753B1"/>
    <w:rsid w:val="00D8138A"/>
    <w:rsid w:val="00D82821"/>
    <w:rsid w:val="00D87E71"/>
    <w:rsid w:val="00D96691"/>
    <w:rsid w:val="00DA41AC"/>
    <w:rsid w:val="00DA724C"/>
    <w:rsid w:val="00DC3B63"/>
    <w:rsid w:val="00DC4B69"/>
    <w:rsid w:val="00DF0E72"/>
    <w:rsid w:val="00DF53FD"/>
    <w:rsid w:val="00E03AB1"/>
    <w:rsid w:val="00E2559E"/>
    <w:rsid w:val="00E31F7E"/>
    <w:rsid w:val="00E31FA1"/>
    <w:rsid w:val="00E33994"/>
    <w:rsid w:val="00E432B9"/>
    <w:rsid w:val="00E45586"/>
    <w:rsid w:val="00E9388F"/>
    <w:rsid w:val="00E96644"/>
    <w:rsid w:val="00E96FB5"/>
    <w:rsid w:val="00EC5A18"/>
    <w:rsid w:val="00EC5EE8"/>
    <w:rsid w:val="00ED7E56"/>
    <w:rsid w:val="00EE4F62"/>
    <w:rsid w:val="00EF125A"/>
    <w:rsid w:val="00F27F6E"/>
    <w:rsid w:val="00F33CB8"/>
    <w:rsid w:val="00F50EFC"/>
    <w:rsid w:val="00F53A6B"/>
    <w:rsid w:val="00F56190"/>
    <w:rsid w:val="00F66BCF"/>
    <w:rsid w:val="00FB477A"/>
    <w:rsid w:val="00FB5206"/>
    <w:rsid w:val="00FE7067"/>
    <w:rsid w:val="00FF320C"/>
    <w:rsid w:val="00FF5684"/>
    <w:rsid w:val="00FF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F41A9C"/>
  <w15:docId w15:val="{C437E814-761E-418B-8697-92533C31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737B"/>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737B"/>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73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737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737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4737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73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737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4737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B9E"/>
    <w:pPr>
      <w:ind w:left="720"/>
      <w:contextualSpacing/>
    </w:pPr>
  </w:style>
  <w:style w:type="character" w:customStyle="1" w:styleId="Heading1Char">
    <w:name w:val="Heading 1 Char"/>
    <w:basedOn w:val="DefaultParagraphFont"/>
    <w:link w:val="Heading1"/>
    <w:uiPriority w:val="9"/>
    <w:rsid w:val="00647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73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737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4737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4737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4737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4737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4737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4737B"/>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D703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03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01A"/>
  </w:style>
  <w:style w:type="paragraph" w:styleId="Footer">
    <w:name w:val="footer"/>
    <w:basedOn w:val="Normal"/>
    <w:link w:val="FooterChar"/>
    <w:uiPriority w:val="99"/>
    <w:unhideWhenUsed/>
    <w:rsid w:val="00103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01A"/>
  </w:style>
  <w:style w:type="paragraph" w:styleId="BalloonText">
    <w:name w:val="Balloon Text"/>
    <w:basedOn w:val="Normal"/>
    <w:link w:val="BalloonTextChar"/>
    <w:uiPriority w:val="99"/>
    <w:semiHidden/>
    <w:unhideWhenUsed/>
    <w:rsid w:val="006D4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D7B"/>
    <w:rPr>
      <w:rFonts w:ascii="Tahoma" w:hAnsi="Tahoma" w:cs="Tahoma"/>
      <w:sz w:val="16"/>
      <w:szCs w:val="16"/>
    </w:rPr>
  </w:style>
  <w:style w:type="paragraph" w:styleId="TOC1">
    <w:name w:val="toc 1"/>
    <w:basedOn w:val="Normal"/>
    <w:next w:val="Normal"/>
    <w:autoRedefine/>
    <w:uiPriority w:val="39"/>
    <w:unhideWhenUsed/>
    <w:rsid w:val="003E0CB8"/>
    <w:pPr>
      <w:spacing w:after="100"/>
    </w:pPr>
  </w:style>
  <w:style w:type="paragraph" w:styleId="TOC2">
    <w:name w:val="toc 2"/>
    <w:basedOn w:val="Normal"/>
    <w:next w:val="Normal"/>
    <w:autoRedefine/>
    <w:uiPriority w:val="39"/>
    <w:unhideWhenUsed/>
    <w:rsid w:val="003E0CB8"/>
    <w:pPr>
      <w:spacing w:after="100"/>
      <w:ind w:left="220"/>
    </w:pPr>
  </w:style>
  <w:style w:type="character" w:styleId="Hyperlink">
    <w:name w:val="Hyperlink"/>
    <w:basedOn w:val="DefaultParagraphFont"/>
    <w:uiPriority w:val="99"/>
    <w:unhideWhenUsed/>
    <w:rsid w:val="003E0CB8"/>
    <w:rPr>
      <w:color w:val="0000FF" w:themeColor="hyperlink"/>
      <w:u w:val="single"/>
    </w:rPr>
  </w:style>
  <w:style w:type="paragraph" w:customStyle="1" w:styleId="Default">
    <w:name w:val="Default"/>
    <w:rsid w:val="00F27F6E"/>
    <w:pPr>
      <w:autoSpaceDE w:val="0"/>
      <w:autoSpaceDN w:val="0"/>
      <w:adjustRightInd w:val="0"/>
      <w:spacing w:after="0" w:line="240" w:lineRule="auto"/>
    </w:pPr>
    <w:rPr>
      <w:rFonts w:ascii="Calibri" w:hAnsi="Calibri" w:cs="Calibri"/>
      <w:color w:val="000000"/>
      <w:sz w:val="24"/>
      <w:szCs w:val="24"/>
    </w:rPr>
  </w:style>
  <w:style w:type="paragraph" w:styleId="TOC3">
    <w:name w:val="toc 3"/>
    <w:basedOn w:val="Normal"/>
    <w:next w:val="Normal"/>
    <w:autoRedefine/>
    <w:uiPriority w:val="39"/>
    <w:unhideWhenUsed/>
    <w:rsid w:val="00792222"/>
    <w:pPr>
      <w:spacing w:after="100"/>
      <w:ind w:left="440"/>
    </w:pPr>
  </w:style>
  <w:style w:type="paragraph" w:styleId="BodyText">
    <w:name w:val="Body Text"/>
    <w:basedOn w:val="Normal"/>
    <w:link w:val="BodyTextChar"/>
    <w:qFormat/>
    <w:rsid w:val="000F5A2C"/>
    <w:pPr>
      <w:spacing w:after="120" w:line="240" w:lineRule="auto"/>
      <w:jc w:val="both"/>
    </w:pPr>
    <w:rPr>
      <w:rFonts w:ascii="Verdana" w:eastAsia="Times New Roman" w:hAnsi="Verdana" w:cs="Arial"/>
      <w:sz w:val="20"/>
      <w:szCs w:val="20"/>
    </w:rPr>
  </w:style>
  <w:style w:type="character" w:customStyle="1" w:styleId="BodyTextChar">
    <w:name w:val="Body Text Char"/>
    <w:basedOn w:val="DefaultParagraphFont"/>
    <w:link w:val="BodyText"/>
    <w:rsid w:val="000F5A2C"/>
    <w:rPr>
      <w:rFonts w:ascii="Verdana" w:eastAsia="Times New Roman" w:hAnsi="Verdan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Template for Working Group - Charter</vt:lpstr>
    </vt:vector>
  </TitlesOfParts>
  <Company>EDP - Energias de Portugal, SA</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Working Group - Charter</dc:title>
  <dc:subject>WG Charter Template</dc:subject>
  <dc:creator>Stan Moyer</dc:creator>
  <cp:keywords>Charter, WG</cp:keywords>
  <cp:lastModifiedBy>Crumb, Steve</cp:lastModifiedBy>
  <cp:revision>5</cp:revision>
  <cp:lastPrinted>2021-10-22T13:18:00Z</cp:lastPrinted>
  <dcterms:created xsi:type="dcterms:W3CDTF">2022-11-22T15:56:00Z</dcterms:created>
  <dcterms:modified xsi:type="dcterms:W3CDTF">2022-12-01T13:49:00Z</dcterms:modified>
</cp:coreProperties>
</file>